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81B571" w14:textId="33E15F44" w:rsidR="001B4F5C" w:rsidRDefault="003508C6" w:rsidP="001B4F5C">
      <w:r>
        <w:t>Informationen zum Gebäude</w:t>
      </w:r>
      <w:r w:rsidR="001B4F5C">
        <w:t>:</w:t>
      </w:r>
    </w:p>
    <w:p w14:paraId="59F5F09C" w14:textId="4A7E9380" w:rsidR="001B4F5C" w:rsidRDefault="001B4F5C" w:rsidP="001B4F5C">
      <w:pPr>
        <w:spacing w:after="120"/>
      </w:pPr>
      <w:r>
        <w:t>Am westlichen Rand des Areals Innenstadt West in Bochum entsteht für das Deutsche Bergbau-Museum Bochum derzeit ein Forschungsgebäude mit musealem Sammlungsdepot. Der Neubau beherbergt Sammlungs- und Depotflächen, Büroflächen, einen Logistikbereich sowie zugehörige Sozial-, Neben-, und Technikräume.</w:t>
      </w:r>
    </w:p>
    <w:p w14:paraId="4B1F8136" w14:textId="0A0496B5" w:rsidR="001B4F5C" w:rsidRDefault="001B4F5C" w:rsidP="001B4F5C">
      <w:pPr>
        <w:spacing w:after="120"/>
      </w:pPr>
      <w:r>
        <w:t xml:space="preserve">Der Neubau ist im Sockelbau als rechteckiger Baukörper mit einer Länge von ca. 86,60 m und einer Breite von ca. 51,30 m </w:t>
      </w:r>
      <w:r w:rsidR="0021154E">
        <w:t>ausgeführt</w:t>
      </w:r>
      <w:r>
        <w:t>. Der quadratische Forschungsbau weist eine Abmessung von ca. 31,60 m x 31,60 m auf, der auf dem Sockelbau aufgesetzte Depotbereich eine Abmessung von ca. 46,20 m x 41,50 m.</w:t>
      </w:r>
    </w:p>
    <w:p w14:paraId="1117DF99" w14:textId="0473BD91" w:rsidR="001B4F5C" w:rsidRDefault="001B4F5C" w:rsidP="001B4F5C">
      <w:pPr>
        <w:spacing w:after="120"/>
      </w:pPr>
      <w:r>
        <w:t xml:space="preserve">Der viergeschossige Forschungs- und dreigeschossige </w:t>
      </w:r>
      <w:proofErr w:type="spellStart"/>
      <w:r>
        <w:t>Depotbau</w:t>
      </w:r>
      <w:proofErr w:type="spellEnd"/>
      <w:r>
        <w:t xml:space="preserve"> sind mit jeweils zwei Treppenhäusern erschlossen. </w:t>
      </w:r>
      <w:r w:rsidR="00087937">
        <w:t xml:space="preserve">Die Zuwegungen zu den Außentüren der Treppenhäuser sind nicht für eine Befahrung mit LKW geeignet. </w:t>
      </w:r>
      <w:r>
        <w:t xml:space="preserve">Während der </w:t>
      </w:r>
      <w:proofErr w:type="spellStart"/>
      <w:r>
        <w:t>Depotbau</w:t>
      </w:r>
      <w:proofErr w:type="spellEnd"/>
      <w:r>
        <w:t xml:space="preserve"> </w:t>
      </w:r>
      <w:r w:rsidR="000821A1">
        <w:t xml:space="preserve">über </w:t>
      </w:r>
      <w:r>
        <w:t xml:space="preserve">einen </w:t>
      </w:r>
      <w:r w:rsidR="008900D6">
        <w:t xml:space="preserve">Lastenaufzug mit einer Tragfähigkeit von </w:t>
      </w:r>
      <w:r w:rsidR="000128F9">
        <w:t xml:space="preserve">5,0 t und lichten Maßen von Breite </w:t>
      </w:r>
      <w:r w:rsidR="000821A1">
        <w:t>2,2</w:t>
      </w:r>
      <w:r w:rsidR="000128F9">
        <w:t xml:space="preserve">m, Tiefe </w:t>
      </w:r>
      <w:r w:rsidR="000821A1">
        <w:t>4</w:t>
      </w:r>
      <w:r w:rsidR="000128F9">
        <w:t>,</w:t>
      </w:r>
      <w:r w:rsidR="000821A1">
        <w:t>2</w:t>
      </w:r>
      <w:r w:rsidR="000128F9">
        <w:t xml:space="preserve"> m und Höhe 2,</w:t>
      </w:r>
      <w:r w:rsidR="000821A1">
        <w:t>5</w:t>
      </w:r>
      <w:r w:rsidR="000128F9">
        <w:t xml:space="preserve">m </w:t>
      </w:r>
      <w:r w:rsidR="008900D6">
        <w:t xml:space="preserve">verfügt, ist im Forschungsgebäude ein Personenaufzug mit einer Tragfähigkeit von </w:t>
      </w:r>
      <w:r w:rsidR="000128F9" w:rsidRPr="000128F9">
        <w:t xml:space="preserve">1,35 t und lichten Maßen von Breite 1,4m, Tiefe 2,1 m </w:t>
      </w:r>
      <w:r w:rsidR="000128F9">
        <w:t>sowie</w:t>
      </w:r>
      <w:r w:rsidR="000128F9" w:rsidRPr="000128F9">
        <w:t xml:space="preserve"> Höhe </w:t>
      </w:r>
      <w:r w:rsidR="000128F9">
        <w:t xml:space="preserve">von </w:t>
      </w:r>
      <w:r w:rsidR="000128F9" w:rsidRPr="000128F9">
        <w:t xml:space="preserve">2,2m </w:t>
      </w:r>
      <w:r w:rsidR="008900D6">
        <w:t>vorhanden.</w:t>
      </w:r>
    </w:p>
    <w:p w14:paraId="65B68557" w14:textId="65BCA5ED" w:rsidR="000821A1" w:rsidRDefault="000821A1" w:rsidP="001B4F5C">
      <w:pPr>
        <w:spacing w:after="120"/>
      </w:pPr>
      <w:r>
        <w:t>Im Vorraum zum Lastenaufzug des Depotbaus befindet sich eine Krananlage mit einer maximalen Belastbarkeit von 8t.</w:t>
      </w:r>
      <w:r w:rsidR="00087937">
        <w:t xml:space="preserve"> Dieser Vorraum kann von Lieferfahrzeugen mit einer maximalen Höhe von 4m befahren werden.</w:t>
      </w:r>
    </w:p>
    <w:p w14:paraId="25094325" w14:textId="77777777" w:rsidR="008900D6" w:rsidRDefault="008900D6" w:rsidP="008900D6">
      <w:pPr>
        <w:spacing w:after="0"/>
      </w:pPr>
      <w:r>
        <w:t>Geschosshöhen:</w:t>
      </w:r>
    </w:p>
    <w:p w14:paraId="6F61B8FB" w14:textId="77777777" w:rsidR="008900D6" w:rsidRDefault="008900D6" w:rsidP="008900D6">
      <w:pPr>
        <w:spacing w:after="0"/>
      </w:pPr>
      <w:r>
        <w:t>Erdgeschoss (Forschungsbau) ca. 5,20 m</w:t>
      </w:r>
    </w:p>
    <w:p w14:paraId="13026D86" w14:textId="77777777" w:rsidR="008900D6" w:rsidRDefault="008900D6" w:rsidP="008900D6">
      <w:pPr>
        <w:spacing w:after="0"/>
      </w:pPr>
      <w:r>
        <w:t>Erdgeschoss (Depot) ca. 6,00 m</w:t>
      </w:r>
    </w:p>
    <w:p w14:paraId="5F30565D" w14:textId="77777777" w:rsidR="008900D6" w:rsidRDefault="008900D6" w:rsidP="008900D6">
      <w:pPr>
        <w:spacing w:after="0"/>
      </w:pPr>
      <w:r>
        <w:t>1. Obergeschoss (Forschungsbau) ca. 4,00 m</w:t>
      </w:r>
    </w:p>
    <w:p w14:paraId="5C6E1FD3" w14:textId="77777777" w:rsidR="008900D6" w:rsidRDefault="008900D6" w:rsidP="008900D6">
      <w:pPr>
        <w:spacing w:after="0"/>
      </w:pPr>
      <w:r>
        <w:t>1. Obergeschoss (Depot) ca. 5,25 m</w:t>
      </w:r>
    </w:p>
    <w:p w14:paraId="07C7CD07" w14:textId="77777777" w:rsidR="008900D6" w:rsidRDefault="008900D6" w:rsidP="008900D6">
      <w:pPr>
        <w:spacing w:after="0"/>
      </w:pPr>
      <w:r>
        <w:t>2. Obergeschoss (Forschungsbau) ca. 4,00 m</w:t>
      </w:r>
    </w:p>
    <w:p w14:paraId="17114430" w14:textId="77777777" w:rsidR="008900D6" w:rsidRDefault="008900D6" w:rsidP="008900D6">
      <w:pPr>
        <w:spacing w:after="0"/>
      </w:pPr>
      <w:r>
        <w:t>2. Obergeschoss (Depot) ca. 5,11 m</w:t>
      </w:r>
    </w:p>
    <w:p w14:paraId="0C719339" w14:textId="77777777" w:rsidR="008900D6" w:rsidRDefault="008900D6" w:rsidP="008900D6">
      <w:pPr>
        <w:spacing w:after="0"/>
      </w:pPr>
      <w:r>
        <w:t>3. Obergeschoss (Forschungsbau) ca. 4,32 m</w:t>
      </w:r>
    </w:p>
    <w:p w14:paraId="7C29A481" w14:textId="77777777" w:rsidR="008900D6" w:rsidRDefault="008900D6" w:rsidP="008900D6">
      <w:pPr>
        <w:spacing w:after="0"/>
      </w:pPr>
      <w:r>
        <w:t>Gesamthöhe Forschungsbau über OK Gelände OK Attika ca. 17,52 m</w:t>
      </w:r>
    </w:p>
    <w:p w14:paraId="733A8EC1" w14:textId="265C7973" w:rsidR="008900D6" w:rsidRDefault="008900D6" w:rsidP="001B4F5C">
      <w:pPr>
        <w:spacing w:after="120"/>
      </w:pPr>
      <w:r>
        <w:t>Gesamthöhe Depot über OK Gelände OK Attika ca. 16,40 m</w:t>
      </w:r>
    </w:p>
    <w:p w14:paraId="25D9122A" w14:textId="2CBCF408" w:rsidR="000128F9" w:rsidRDefault="000128F9" w:rsidP="001B4F5C">
      <w:pPr>
        <w:spacing w:after="120"/>
      </w:pPr>
      <w:r>
        <w:t>Baustellentätigkeit:</w:t>
      </w:r>
    </w:p>
    <w:p w14:paraId="1B25D5FB" w14:textId="673C2875" w:rsidR="00090339" w:rsidRDefault="008900D6" w:rsidP="001B4F5C">
      <w:pPr>
        <w:spacing w:after="120"/>
      </w:pPr>
      <w:r>
        <w:t>Zum Einbringungszeitpunkt der Lagertechnik finden noch Bautätigkeiten im Gebäude statt. Die Baustelle fällt aufgrund der Baustellenbedingungen in den Anwendungsbereich der Baustellenverordnung, die seit dem 1. Juli 1998 in Kraft ist. Für die Baustelleneinrichtung gilt die jeweils gültige Fassung der Verordnung über Arbeitsstätten (ArbStättV) und der Unfallverhütungsvorschriften UVV. Der AN trägt alleine die Verantwortung für das Treffen der erforderlichen Sicherheitsvorkehrungen zum Schutz von Anlagen und Personen, entsprechend den gültigen Unfallverhütungsvorschriften.</w:t>
      </w:r>
    </w:p>
    <w:sectPr w:rsidR="00090339">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4F5C"/>
    <w:rsid w:val="000128F9"/>
    <w:rsid w:val="000821A1"/>
    <w:rsid w:val="00087937"/>
    <w:rsid w:val="00090339"/>
    <w:rsid w:val="001B4F5C"/>
    <w:rsid w:val="0021154E"/>
    <w:rsid w:val="003508C6"/>
    <w:rsid w:val="00392821"/>
    <w:rsid w:val="0067402E"/>
    <w:rsid w:val="008900D6"/>
    <w:rsid w:val="00AA41D7"/>
    <w:rsid w:val="00E71B7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0D57AE"/>
  <w15:chartTrackingRefBased/>
  <w15:docId w15:val="{0B69B522-63B5-4526-A258-535B3EF28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1B4F5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1B4F5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1B4F5C"/>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1B4F5C"/>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1B4F5C"/>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1B4F5C"/>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1B4F5C"/>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1B4F5C"/>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1B4F5C"/>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1B4F5C"/>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1B4F5C"/>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1B4F5C"/>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1B4F5C"/>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1B4F5C"/>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1B4F5C"/>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1B4F5C"/>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1B4F5C"/>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1B4F5C"/>
    <w:rPr>
      <w:rFonts w:eastAsiaTheme="majorEastAsia" w:cstheme="majorBidi"/>
      <w:color w:val="272727" w:themeColor="text1" w:themeTint="D8"/>
    </w:rPr>
  </w:style>
  <w:style w:type="paragraph" w:styleId="Titel">
    <w:name w:val="Title"/>
    <w:basedOn w:val="Standard"/>
    <w:next w:val="Standard"/>
    <w:link w:val="TitelZchn"/>
    <w:uiPriority w:val="10"/>
    <w:qFormat/>
    <w:rsid w:val="001B4F5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1B4F5C"/>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1B4F5C"/>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1B4F5C"/>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1B4F5C"/>
    <w:pPr>
      <w:spacing w:before="160"/>
      <w:jc w:val="center"/>
    </w:pPr>
    <w:rPr>
      <w:i/>
      <w:iCs/>
      <w:color w:val="404040" w:themeColor="text1" w:themeTint="BF"/>
    </w:rPr>
  </w:style>
  <w:style w:type="character" w:customStyle="1" w:styleId="ZitatZchn">
    <w:name w:val="Zitat Zchn"/>
    <w:basedOn w:val="Absatz-Standardschriftart"/>
    <w:link w:val="Zitat"/>
    <w:uiPriority w:val="29"/>
    <w:rsid w:val="001B4F5C"/>
    <w:rPr>
      <w:i/>
      <w:iCs/>
      <w:color w:val="404040" w:themeColor="text1" w:themeTint="BF"/>
    </w:rPr>
  </w:style>
  <w:style w:type="paragraph" w:styleId="Listenabsatz">
    <w:name w:val="List Paragraph"/>
    <w:basedOn w:val="Standard"/>
    <w:uiPriority w:val="34"/>
    <w:qFormat/>
    <w:rsid w:val="001B4F5C"/>
    <w:pPr>
      <w:ind w:left="720"/>
      <w:contextualSpacing/>
    </w:pPr>
  </w:style>
  <w:style w:type="character" w:styleId="IntensiveHervorhebung">
    <w:name w:val="Intense Emphasis"/>
    <w:basedOn w:val="Absatz-Standardschriftart"/>
    <w:uiPriority w:val="21"/>
    <w:qFormat/>
    <w:rsid w:val="001B4F5C"/>
    <w:rPr>
      <w:i/>
      <w:iCs/>
      <w:color w:val="0F4761" w:themeColor="accent1" w:themeShade="BF"/>
    </w:rPr>
  </w:style>
  <w:style w:type="paragraph" w:styleId="IntensivesZitat">
    <w:name w:val="Intense Quote"/>
    <w:basedOn w:val="Standard"/>
    <w:next w:val="Standard"/>
    <w:link w:val="IntensivesZitatZchn"/>
    <w:uiPriority w:val="30"/>
    <w:qFormat/>
    <w:rsid w:val="001B4F5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1B4F5C"/>
    <w:rPr>
      <w:i/>
      <w:iCs/>
      <w:color w:val="0F4761" w:themeColor="accent1" w:themeShade="BF"/>
    </w:rPr>
  </w:style>
  <w:style w:type="character" w:styleId="IntensiverVerweis">
    <w:name w:val="Intense Reference"/>
    <w:basedOn w:val="Absatz-Standardschriftart"/>
    <w:uiPriority w:val="32"/>
    <w:qFormat/>
    <w:rsid w:val="001B4F5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322</Words>
  <Characters>2030</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Niederhagemann, Stefan</dc:creator>
  <cp:keywords/>
  <dc:description/>
  <cp:lastModifiedBy>Niederhagemann, Stefan</cp:lastModifiedBy>
  <cp:revision>5</cp:revision>
  <dcterms:created xsi:type="dcterms:W3CDTF">2026-06-09T13:17:00Z</dcterms:created>
  <dcterms:modified xsi:type="dcterms:W3CDTF">2026-06-10T06:31:00Z</dcterms:modified>
</cp:coreProperties>
</file>